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BADD6D">
      <w:pPr>
        <w:spacing w:line="560" w:lineRule="exact"/>
        <w:jc w:val="center"/>
        <w:rPr>
          <w:rFonts w:ascii="华文中宋" w:hAnsi="华文中宋" w:eastAsia="华文中宋"/>
          <w:color w:val="000000"/>
          <w:sz w:val="36"/>
          <w:szCs w:val="36"/>
        </w:rPr>
      </w:pPr>
      <w:r>
        <w:rPr>
          <w:rFonts w:hint="eastAsia" w:ascii="方正小标宋简体" w:hAnsi="华文中宋" w:eastAsia="方正小标宋简体"/>
          <w:color w:val="000000"/>
          <w:sz w:val="44"/>
          <w:szCs w:val="40"/>
        </w:rPr>
        <w:t>新闻IP参评作品推荐表</w:t>
      </w:r>
      <w:bookmarkStart w:id="0" w:name="附件4"/>
      <w:bookmarkEnd w:id="0"/>
    </w:p>
    <w:tbl>
      <w:tblPr>
        <w:tblStyle w:val="3"/>
        <w:tblW w:w="96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505"/>
        <w:gridCol w:w="167"/>
        <w:gridCol w:w="104"/>
        <w:gridCol w:w="1927"/>
        <w:gridCol w:w="780"/>
        <w:gridCol w:w="738"/>
        <w:gridCol w:w="977"/>
        <w:gridCol w:w="312"/>
        <w:gridCol w:w="1027"/>
        <w:gridCol w:w="375"/>
        <w:gridCol w:w="1831"/>
      </w:tblGrid>
      <w:tr w14:paraId="74032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exact"/>
          <w:jc w:val="center"/>
        </w:trPr>
        <w:tc>
          <w:tcPr>
            <w:tcW w:w="1395" w:type="dxa"/>
            <w:gridSpan w:val="2"/>
            <w:vAlign w:val="center"/>
          </w:tcPr>
          <w:p w14:paraId="0211804C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新闻IP</w:t>
            </w:r>
          </w:p>
          <w:p w14:paraId="70BFF02A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名称</w:t>
            </w:r>
          </w:p>
        </w:tc>
        <w:tc>
          <w:tcPr>
            <w:tcW w:w="3716" w:type="dxa"/>
            <w:gridSpan w:val="5"/>
            <w:vAlign w:val="center"/>
          </w:tcPr>
          <w:p w14:paraId="79F68620">
            <w:pPr>
              <w:spacing w:line="300" w:lineRule="exact"/>
              <w:jc w:val="left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观澜工作室</w:t>
            </w:r>
          </w:p>
        </w:tc>
        <w:tc>
          <w:tcPr>
            <w:tcW w:w="1289" w:type="dxa"/>
            <w:gridSpan w:val="2"/>
            <w:vAlign w:val="center"/>
          </w:tcPr>
          <w:p w14:paraId="2CB28C2B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类别</w:t>
            </w:r>
          </w:p>
        </w:tc>
        <w:tc>
          <w:tcPr>
            <w:tcW w:w="3233" w:type="dxa"/>
            <w:gridSpan w:val="3"/>
            <w:vAlign w:val="center"/>
          </w:tcPr>
          <w:p w14:paraId="32A2086F">
            <w:pPr>
              <w:spacing w:line="300" w:lineRule="exact"/>
              <w:jc w:val="left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工作室账号</w:t>
            </w:r>
          </w:p>
        </w:tc>
      </w:tr>
      <w:tr w14:paraId="74036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exact"/>
          <w:jc w:val="center"/>
        </w:trPr>
        <w:tc>
          <w:tcPr>
            <w:tcW w:w="890" w:type="dxa"/>
            <w:vAlign w:val="center"/>
          </w:tcPr>
          <w:p w14:paraId="177E6811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原创</w:t>
            </w:r>
          </w:p>
          <w:p w14:paraId="0424FDAC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单位</w:t>
            </w:r>
          </w:p>
        </w:tc>
        <w:tc>
          <w:tcPr>
            <w:tcW w:w="4221" w:type="dxa"/>
            <w:gridSpan w:val="6"/>
            <w:vAlign w:val="center"/>
          </w:tcPr>
          <w:p w14:paraId="03026CEA">
            <w:pPr>
              <w:spacing w:line="240" w:lineRule="exact"/>
              <w:jc w:val="left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江苏省广播电视总台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</w:tcPr>
          <w:p w14:paraId="70573A2A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发布</w:t>
            </w:r>
          </w:p>
          <w:p w14:paraId="1246B32C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平台</w:t>
            </w:r>
          </w:p>
        </w:tc>
        <w:tc>
          <w:tcPr>
            <w:tcW w:w="3233" w:type="dxa"/>
            <w:gridSpan w:val="3"/>
            <w:shd w:val="clear" w:color="auto" w:fill="auto"/>
            <w:vAlign w:val="center"/>
          </w:tcPr>
          <w:p w14:paraId="324819AF">
            <w:pPr>
              <w:spacing w:line="240" w:lineRule="exact"/>
              <w:jc w:val="left"/>
              <w:rPr>
                <w:rFonts w:hint="default" w:ascii="仿宋" w:hAnsi="仿宋" w:eastAsia="仿宋"/>
                <w:bCs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荔枝新闻app</w:t>
            </w:r>
          </w:p>
        </w:tc>
      </w:tr>
      <w:tr w14:paraId="7327B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exact"/>
          <w:jc w:val="center"/>
        </w:trPr>
        <w:tc>
          <w:tcPr>
            <w:tcW w:w="890" w:type="dxa"/>
            <w:vAlign w:val="center"/>
          </w:tcPr>
          <w:p w14:paraId="105BC5C2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创办</w:t>
            </w:r>
          </w:p>
          <w:p w14:paraId="60167E36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日期</w:t>
            </w:r>
          </w:p>
        </w:tc>
        <w:tc>
          <w:tcPr>
            <w:tcW w:w="2703" w:type="dxa"/>
            <w:gridSpan w:val="4"/>
            <w:vAlign w:val="center"/>
          </w:tcPr>
          <w:p w14:paraId="27BFF0AD">
            <w:pPr>
              <w:spacing w:line="300" w:lineRule="exact"/>
              <w:jc w:val="center"/>
              <w:rPr>
                <w:rFonts w:hint="default" w:ascii="华文中宋" w:hAnsi="华文中宋" w:eastAsia="华文中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2025年3月2日</w:t>
            </w:r>
          </w:p>
        </w:tc>
        <w:tc>
          <w:tcPr>
            <w:tcW w:w="780" w:type="dxa"/>
            <w:vAlign w:val="center"/>
          </w:tcPr>
          <w:p w14:paraId="23359A39">
            <w:pPr>
              <w:spacing w:line="300" w:lineRule="exact"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发布周期</w:t>
            </w:r>
          </w:p>
        </w:tc>
        <w:tc>
          <w:tcPr>
            <w:tcW w:w="738" w:type="dxa"/>
            <w:vAlign w:val="center"/>
          </w:tcPr>
          <w:p w14:paraId="4CEF2C3D">
            <w:pPr>
              <w:spacing w:line="300" w:lineRule="exact"/>
              <w:jc w:val="center"/>
              <w:rPr>
                <w:rFonts w:hint="default" w:ascii="仿宋" w:hAnsi="仿宋" w:eastAsia="仿宋"/>
                <w:bCs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周更</w:t>
            </w:r>
          </w:p>
        </w:tc>
        <w:tc>
          <w:tcPr>
            <w:tcW w:w="2316" w:type="dxa"/>
            <w:gridSpan w:val="3"/>
            <w:shd w:val="clear" w:color="auto" w:fill="auto"/>
            <w:vAlign w:val="center"/>
          </w:tcPr>
          <w:p w14:paraId="489398CE">
            <w:pPr>
              <w:spacing w:line="30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2025年度</w:t>
            </w:r>
          </w:p>
          <w:p w14:paraId="6523ADA0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发布总次数</w:t>
            </w:r>
          </w:p>
        </w:tc>
        <w:tc>
          <w:tcPr>
            <w:tcW w:w="2206" w:type="dxa"/>
            <w:gridSpan w:val="2"/>
            <w:vAlign w:val="center"/>
          </w:tcPr>
          <w:p w14:paraId="5E957F5D">
            <w:pPr>
              <w:spacing w:line="300" w:lineRule="exact"/>
              <w:rPr>
                <w:rFonts w:hint="default" w:ascii="仿宋_GB2312" w:hAnsi="华文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华文仿宋" w:eastAsia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54</w:t>
            </w:r>
          </w:p>
        </w:tc>
      </w:tr>
      <w:tr w14:paraId="3BB2B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exact"/>
          <w:jc w:val="center"/>
        </w:trPr>
        <w:tc>
          <w:tcPr>
            <w:tcW w:w="890" w:type="dxa"/>
            <w:vAlign w:val="center"/>
          </w:tcPr>
          <w:p w14:paraId="178841D4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主创</w:t>
            </w:r>
          </w:p>
          <w:p w14:paraId="239978F8">
            <w:pPr>
              <w:spacing w:line="30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人员</w:t>
            </w:r>
          </w:p>
        </w:tc>
        <w:tc>
          <w:tcPr>
            <w:tcW w:w="4221" w:type="dxa"/>
            <w:gridSpan w:val="6"/>
            <w:shd w:val="clear" w:color="auto" w:fill="auto"/>
            <w:vAlign w:val="center"/>
          </w:tcPr>
          <w:p w14:paraId="35129894">
            <w:pPr>
              <w:spacing w:line="240" w:lineRule="exact"/>
              <w:rPr>
                <w:rFonts w:hint="default" w:ascii="华文中宋" w:hAnsi="华文中宋" w:eastAsia="华文中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Cs w:val="15"/>
                <w:lang w:val="en-US" w:eastAsia="zh-CN"/>
              </w:rPr>
              <w:t>姜超楠，钱昕冉，张心宇</w:t>
            </w:r>
          </w:p>
        </w:tc>
        <w:tc>
          <w:tcPr>
            <w:tcW w:w="1289" w:type="dxa"/>
            <w:gridSpan w:val="2"/>
            <w:vAlign w:val="center"/>
          </w:tcPr>
          <w:p w14:paraId="37B56FEF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编辑</w:t>
            </w:r>
          </w:p>
        </w:tc>
        <w:tc>
          <w:tcPr>
            <w:tcW w:w="3233" w:type="dxa"/>
            <w:gridSpan w:val="3"/>
            <w:vAlign w:val="center"/>
          </w:tcPr>
          <w:p w14:paraId="0FE25C3F">
            <w:pPr>
              <w:spacing w:line="240" w:lineRule="exact"/>
              <w:jc w:val="left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Cs w:val="15"/>
                <w:lang w:val="en-US" w:eastAsia="zh-CN"/>
              </w:rPr>
              <w:t>季建南，周明</w:t>
            </w:r>
          </w:p>
        </w:tc>
      </w:tr>
      <w:tr w14:paraId="6B407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  <w:jc w:val="center"/>
        </w:trPr>
        <w:tc>
          <w:tcPr>
            <w:tcW w:w="1666" w:type="dxa"/>
            <w:gridSpan w:val="4"/>
            <w:vMerge w:val="restart"/>
            <w:vAlign w:val="center"/>
          </w:tcPr>
          <w:p w14:paraId="67B6D27B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新媒体作品</w:t>
            </w:r>
          </w:p>
          <w:p w14:paraId="1A0B4B7A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链接</w:t>
            </w:r>
          </w:p>
        </w:tc>
        <w:tc>
          <w:tcPr>
            <w:tcW w:w="442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117E33D">
            <w:pPr>
              <w:widowControl/>
              <w:spacing w:line="300" w:lineRule="exact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https://m.jstv.com/lzAccount.html?publisherid=1453080044203196416</w:t>
            </w:r>
          </w:p>
        </w:tc>
        <w:tc>
          <w:tcPr>
            <w:tcW w:w="17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05ECA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入选</w:t>
            </w:r>
          </w:p>
          <w:p w14:paraId="702D3448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“三好作品”</w:t>
            </w:r>
          </w:p>
        </w:tc>
        <w:tc>
          <w:tcPr>
            <w:tcW w:w="1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7FDA6">
            <w:pPr>
              <w:widowControl/>
              <w:spacing w:line="560" w:lineRule="exact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√</w:t>
            </w:r>
            <w:r>
              <w:rPr>
                <w:rFonts w:hint="eastAsia" w:ascii="仿宋" w:hAnsi="仿宋" w:eastAsia="仿宋"/>
                <w:color w:val="000000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仿宋" w:hAnsi="仿宋" w:eastAsia="仿宋"/>
                <w:color w:val="000000"/>
                <w:sz w:val="22"/>
                <w:szCs w:val="22"/>
                <w:lang w:val="en-US" w:eastAsia="zh-CN"/>
              </w:rPr>
              <w:t>4篇</w:t>
            </w:r>
            <w:r>
              <w:rPr>
                <w:rFonts w:hint="eastAsia" w:ascii="仿宋" w:hAnsi="仿宋" w:eastAsia="仿宋"/>
                <w:color w:val="000000"/>
                <w:sz w:val="22"/>
                <w:szCs w:val="22"/>
                <w:lang w:eastAsia="zh-CN"/>
              </w:rPr>
              <w:t>）</w:t>
            </w:r>
          </w:p>
        </w:tc>
      </w:tr>
      <w:tr w14:paraId="38433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  <w:jc w:val="center"/>
        </w:trPr>
        <w:tc>
          <w:tcPr>
            <w:tcW w:w="1666" w:type="dxa"/>
            <w:gridSpan w:val="4"/>
            <w:vMerge w:val="continue"/>
            <w:vAlign w:val="center"/>
          </w:tcPr>
          <w:p w14:paraId="78AB0FEB">
            <w:pPr>
              <w:widowControl/>
              <w:spacing w:line="560" w:lineRule="exact"/>
            </w:pPr>
          </w:p>
        </w:tc>
        <w:tc>
          <w:tcPr>
            <w:tcW w:w="442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3F783">
            <w:pPr>
              <w:widowControl/>
              <w:spacing w:line="560" w:lineRule="exact"/>
            </w:pPr>
          </w:p>
        </w:tc>
        <w:tc>
          <w:tcPr>
            <w:tcW w:w="17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37899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入选</w:t>
            </w:r>
          </w:p>
          <w:p w14:paraId="0A9043BB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“我的代表作”</w:t>
            </w:r>
          </w:p>
        </w:tc>
        <w:tc>
          <w:tcPr>
            <w:tcW w:w="1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39EDAC">
            <w:pPr>
              <w:widowControl/>
              <w:spacing w:line="560" w:lineRule="exact"/>
              <w:rPr>
                <w:rFonts w:hint="eastAsia" w:ascii="华文中宋" w:hAnsi="华文中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√</w:t>
            </w:r>
            <w:r>
              <w:rPr>
                <w:rFonts w:hint="eastAsia" w:ascii="仿宋" w:hAnsi="仿宋" w:eastAsia="仿宋"/>
                <w:color w:val="000000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仿宋" w:hAnsi="仿宋" w:eastAsia="仿宋"/>
                <w:color w:val="000000"/>
                <w:sz w:val="22"/>
                <w:szCs w:val="22"/>
                <w:lang w:val="en-US" w:eastAsia="zh-CN"/>
              </w:rPr>
              <w:t>3篇</w:t>
            </w:r>
            <w:r>
              <w:rPr>
                <w:rFonts w:hint="eastAsia" w:ascii="仿宋" w:hAnsi="仿宋" w:eastAsia="仿宋"/>
                <w:color w:val="000000"/>
                <w:sz w:val="22"/>
                <w:szCs w:val="22"/>
                <w:lang w:eastAsia="zh-CN"/>
              </w:rPr>
              <w:t>）</w:t>
            </w:r>
          </w:p>
        </w:tc>
      </w:tr>
      <w:tr w14:paraId="6113B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9" w:hRule="atLeast"/>
          <w:jc w:val="center"/>
        </w:trPr>
        <w:tc>
          <w:tcPr>
            <w:tcW w:w="890" w:type="dxa"/>
            <w:vAlign w:val="center"/>
          </w:tcPr>
          <w:p w14:paraId="159151DF"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作</w:t>
            </w:r>
          </w:p>
          <w:p w14:paraId="4A3FE5DB"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品</w:t>
            </w:r>
          </w:p>
          <w:p w14:paraId="63C35C6F"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简</w:t>
            </w:r>
          </w:p>
          <w:p w14:paraId="7EEEF4F1"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介</w:t>
            </w:r>
          </w:p>
        </w:tc>
        <w:tc>
          <w:tcPr>
            <w:tcW w:w="8743" w:type="dxa"/>
            <w:gridSpan w:val="11"/>
            <w:vAlign w:val="center"/>
          </w:tcPr>
          <w:p w14:paraId="68A263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textAlignment w:val="auto"/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观澜工作室是荔枝新闻中心打造的深度报道工作室。“观一滴水，见一片海”，观澜以微观视角为切口，深度观察时代命题下的新探索、新实践。产品立足江苏、面向全国，以青年视角、人文关怀和创新表达记录时代探索，推动深度报道破圈。工作室共3名固定成员，成立一年来5篇报道入选中宣部三好作品。创新探索获中宣部《新闻阅评》专刊肯定。</w:t>
            </w:r>
          </w:p>
          <w:p w14:paraId="3081A8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textAlignment w:val="auto"/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观澜充分聚焦社会热点和民生痛点：《这群05后怎样照亮生命终章》通过江浙沪首所设立殡葬专业高校的05后学生的故事传递珍爱生命的价值观，获评三好作品，两个话题登全国热搜。《老人猜疑子女偷自己钱可能是病了》以全国首个针对失能失智老人的地方性干预规范出台为背景，直击失智老人照护难题，获评三好作品；《一个世纪的记忆回响》《请上播！05后科班带货主播》《农家院里的实验室》等均以独家视角深度蹲点，获得500万以上阅读量。具有时代锚点的话题切口引发广泛关注和讨论。</w:t>
            </w:r>
          </w:p>
          <w:p w14:paraId="521ADA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textAlignment w:val="auto"/>
              <w:rPr>
                <w:rFonts w:hint="default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观澜探索深度报道破圈模式：以10-15分钟专题为主产品，并制作3分钟vlog和切片短视频；3人“轻骑兵”+大平台运营力量，初步形成优质深度内容的多元传播运营机制。报道累计阅读量播放量近2亿，逐步构建起以青年为主体的高粘性受众群。</w:t>
            </w:r>
          </w:p>
        </w:tc>
      </w:tr>
      <w:tr w14:paraId="2875E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9" w:hRule="atLeast"/>
          <w:jc w:val="center"/>
        </w:trPr>
        <w:tc>
          <w:tcPr>
            <w:tcW w:w="890" w:type="dxa"/>
            <w:vAlign w:val="center"/>
          </w:tcPr>
          <w:p w14:paraId="7058805D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2FD65BD3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6DE1327D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1F3CF48C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5D5D8FCB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0E64B0C8">
            <w:pPr>
              <w:spacing w:line="32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︶</w:t>
            </w:r>
          </w:p>
        </w:tc>
        <w:tc>
          <w:tcPr>
            <w:tcW w:w="8743" w:type="dxa"/>
            <w:gridSpan w:val="11"/>
          </w:tcPr>
          <w:p w14:paraId="0DFC7B80">
            <w:pPr>
              <w:spacing w:line="380" w:lineRule="exact"/>
              <w:ind w:firstLine="420" w:firstLineChars="200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在浮躁、碎片化的网络环境中，观澜工作室定位深度报道，并通过语态、生产方式等创新，探索深度报道的破圈之路，显示出优秀新闻工作者的内容定力，难能可贵；以不猎奇、有温度的视角记录时代，以微观切口激活宏大议题，彰显主流媒体的议题把握与深度思考能力；将宏大主题与个体故事相融合、国家战略与地方实践相结合，让主流声音更具温度、更接地气、更有穿透力。工作室以青年化表达引领议题，不到一年时间就迸发出强大活力，是主力军挺进主战场的创新标杆。</w:t>
            </w:r>
          </w:p>
          <w:p w14:paraId="1BC70B31">
            <w:pPr>
              <w:spacing w:line="380" w:lineRule="exact"/>
              <w:ind w:firstLine="3840" w:firstLineChars="1600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 xml:space="preserve">签名：                      </w:t>
            </w:r>
          </w:p>
          <w:p w14:paraId="53825D1E">
            <w:pPr>
              <w:spacing w:line="380" w:lineRule="exact"/>
              <w:ind w:firstLine="4080" w:firstLineChars="1700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 xml:space="preserve">        </w:t>
            </w:r>
            <w:r>
              <w:rPr>
                <w:rFonts w:hint="eastAsia" w:ascii="仿宋" w:hAnsi="仿宋" w:eastAsia="仿宋"/>
                <w:sz w:val="22"/>
                <w:szCs w:val="22"/>
              </w:rPr>
              <w:t>（加盖单位公章）</w:t>
            </w:r>
          </w:p>
          <w:p w14:paraId="295F3C80">
            <w:pPr>
              <w:spacing w:line="420" w:lineRule="exact"/>
              <w:jc w:val="left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 xml:space="preserve">                                      </w:t>
            </w:r>
            <w:r>
              <w:rPr>
                <w:rFonts w:ascii="华文中宋" w:hAnsi="华文中宋" w:eastAsia="华文中宋"/>
                <w:sz w:val="24"/>
              </w:rPr>
              <w:t>202</w:t>
            </w:r>
            <w:r>
              <w:rPr>
                <w:rFonts w:hint="eastAsia" w:ascii="华文中宋" w:hAnsi="华文中宋" w:eastAsia="华文中宋"/>
                <w:sz w:val="24"/>
              </w:rPr>
              <w:t>6</w:t>
            </w:r>
            <w:r>
              <w:rPr>
                <w:rFonts w:ascii="华文中宋" w:hAnsi="华文中宋" w:eastAsia="华文中宋"/>
                <w:sz w:val="24"/>
              </w:rPr>
              <w:t xml:space="preserve">年 </w:t>
            </w:r>
            <w:r>
              <w:rPr>
                <w:rFonts w:hint="eastAsia" w:ascii="华文中宋" w:hAnsi="华文中宋" w:eastAsia="华文中宋"/>
                <w:sz w:val="24"/>
              </w:rPr>
              <w:t xml:space="preserve">  </w:t>
            </w:r>
            <w:r>
              <w:rPr>
                <w:rFonts w:ascii="华文中宋" w:hAnsi="华文中宋" w:eastAsia="华文中宋"/>
                <w:sz w:val="24"/>
              </w:rPr>
              <w:t xml:space="preserve"> </w:t>
            </w:r>
            <w:r>
              <w:rPr>
                <w:rFonts w:hint="eastAsia" w:ascii="华文中宋" w:hAnsi="华文中宋" w:eastAsia="华文中宋"/>
                <w:sz w:val="24"/>
              </w:rPr>
              <w:t xml:space="preserve"> 月</w:t>
            </w:r>
            <w:r>
              <w:rPr>
                <w:rFonts w:ascii="华文中宋" w:hAnsi="华文中宋" w:eastAsia="华文中宋"/>
                <w:sz w:val="24"/>
              </w:rPr>
              <w:t xml:space="preserve"> </w:t>
            </w:r>
            <w:r>
              <w:rPr>
                <w:rFonts w:hint="eastAsia" w:ascii="华文中宋" w:hAnsi="华文中宋" w:eastAsia="华文中宋"/>
                <w:sz w:val="24"/>
              </w:rPr>
              <w:t xml:space="preserve">  </w:t>
            </w:r>
            <w:r>
              <w:rPr>
                <w:rFonts w:ascii="华文中宋" w:hAnsi="华文中宋" w:eastAsia="华文中宋"/>
                <w:sz w:val="24"/>
              </w:rPr>
              <w:t xml:space="preserve"> </w:t>
            </w:r>
            <w:r>
              <w:rPr>
                <w:rFonts w:hint="eastAsia" w:ascii="华文中宋" w:hAnsi="华文中宋" w:eastAsia="华文中宋"/>
                <w:sz w:val="24"/>
              </w:rPr>
              <w:t xml:space="preserve"> 日</w:t>
            </w:r>
          </w:p>
        </w:tc>
      </w:tr>
      <w:tr w14:paraId="77752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exact"/>
          <w:jc w:val="center"/>
        </w:trPr>
        <w:tc>
          <w:tcPr>
            <w:tcW w:w="1562" w:type="dxa"/>
            <w:gridSpan w:val="3"/>
            <w:vAlign w:val="center"/>
          </w:tcPr>
          <w:p w14:paraId="377F94A5">
            <w:pPr>
              <w:spacing w:line="32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联系人</w:t>
            </w:r>
          </w:p>
        </w:tc>
        <w:tc>
          <w:tcPr>
            <w:tcW w:w="2031" w:type="dxa"/>
            <w:gridSpan w:val="2"/>
            <w:vAlign w:val="center"/>
          </w:tcPr>
          <w:p w14:paraId="32B25CD4">
            <w:pPr>
              <w:rPr>
                <w:rFonts w:hint="eastAsia" w:ascii="仿宋" w:hAnsi="仿宋" w:eastAsia="仿宋"/>
                <w:sz w:val="24"/>
                <w:lang w:val="en-US" w:eastAsia="zh-CN"/>
              </w:rPr>
            </w:pPr>
          </w:p>
        </w:tc>
        <w:tc>
          <w:tcPr>
            <w:tcW w:w="1518" w:type="dxa"/>
            <w:gridSpan w:val="2"/>
            <w:vAlign w:val="center"/>
          </w:tcPr>
          <w:p w14:paraId="76CA84FB">
            <w:pPr>
              <w:spacing w:line="32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邮箱</w:t>
            </w:r>
          </w:p>
        </w:tc>
        <w:tc>
          <w:tcPr>
            <w:tcW w:w="1289" w:type="dxa"/>
            <w:gridSpan w:val="2"/>
            <w:vAlign w:val="center"/>
          </w:tcPr>
          <w:p w14:paraId="2D6DCAD6">
            <w:pPr>
              <w:spacing w:line="320" w:lineRule="exact"/>
              <w:jc w:val="center"/>
              <w:rPr>
                <w:rFonts w:hint="default" w:ascii="华文中宋" w:hAnsi="华文中宋" w:eastAsia="华文中宋"/>
                <w:sz w:val="24"/>
                <w:lang w:val="en-US" w:eastAsia="zh-CN"/>
              </w:rPr>
            </w:pPr>
          </w:p>
        </w:tc>
        <w:tc>
          <w:tcPr>
            <w:tcW w:w="1027" w:type="dxa"/>
            <w:vAlign w:val="center"/>
          </w:tcPr>
          <w:p w14:paraId="10426328">
            <w:pPr>
              <w:spacing w:line="32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手机</w:t>
            </w:r>
          </w:p>
        </w:tc>
        <w:tc>
          <w:tcPr>
            <w:tcW w:w="2206" w:type="dxa"/>
            <w:gridSpan w:val="2"/>
            <w:vAlign w:val="center"/>
          </w:tcPr>
          <w:p w14:paraId="535504DB">
            <w:pPr>
              <w:spacing w:line="320" w:lineRule="exact"/>
              <w:jc w:val="center"/>
              <w:rPr>
                <w:rFonts w:hint="default" w:ascii="华文中宋" w:hAnsi="华文中宋" w:eastAsia="华文中宋"/>
                <w:sz w:val="24"/>
                <w:lang w:val="en-US" w:eastAsia="zh-CN"/>
              </w:rPr>
            </w:pPr>
          </w:p>
        </w:tc>
      </w:tr>
    </w:tbl>
    <w:p w14:paraId="45031F5D">
      <w:pPr>
        <w:spacing w:line="320" w:lineRule="exact"/>
      </w:pPr>
      <w:bookmarkStart w:id="1" w:name="_GoBack"/>
      <w:bookmarkEnd w:id="1"/>
    </w:p>
    <w:sectPr>
      <w:pgSz w:w="11906" w:h="16838"/>
      <w:pgMar w:top="1701" w:right="1474" w:bottom="175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1" w:fontKey="{08954730-590B-444F-B870-59538A658155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CC3F6028-4441-4D08-A037-8747CA4B5485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A466AD99-CBAB-4CB5-ACF5-E7D630A0E388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ABCB8BFC-FE5C-4E4B-82E5-AD243F9A17B1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1E255C"/>
    <w:rsid w:val="03035935"/>
    <w:rsid w:val="031A4A2D"/>
    <w:rsid w:val="066B3880"/>
    <w:rsid w:val="09835CCB"/>
    <w:rsid w:val="0A4A7809"/>
    <w:rsid w:val="0C515B3E"/>
    <w:rsid w:val="0E3F3599"/>
    <w:rsid w:val="0F8713E3"/>
    <w:rsid w:val="12D469A6"/>
    <w:rsid w:val="17F73D99"/>
    <w:rsid w:val="1EFD7285"/>
    <w:rsid w:val="1FF233D2"/>
    <w:rsid w:val="21696E53"/>
    <w:rsid w:val="21EB5ABA"/>
    <w:rsid w:val="2CAD22EA"/>
    <w:rsid w:val="2D141921"/>
    <w:rsid w:val="2E1B251B"/>
    <w:rsid w:val="2ED4747E"/>
    <w:rsid w:val="3C597D99"/>
    <w:rsid w:val="409637BF"/>
    <w:rsid w:val="459E4A6E"/>
    <w:rsid w:val="46CD4B3A"/>
    <w:rsid w:val="471E255C"/>
    <w:rsid w:val="48180B08"/>
    <w:rsid w:val="49880C8F"/>
    <w:rsid w:val="49B707BC"/>
    <w:rsid w:val="4A653DAC"/>
    <w:rsid w:val="4D0F61C4"/>
    <w:rsid w:val="500F1452"/>
    <w:rsid w:val="55006BAB"/>
    <w:rsid w:val="5FAE502C"/>
    <w:rsid w:val="612E4AA0"/>
    <w:rsid w:val="639F1C85"/>
    <w:rsid w:val="648570CD"/>
    <w:rsid w:val="64DD07CF"/>
    <w:rsid w:val="65121626"/>
    <w:rsid w:val="6744072E"/>
    <w:rsid w:val="67BE12FC"/>
    <w:rsid w:val="69D05803"/>
    <w:rsid w:val="6AB22AC3"/>
    <w:rsid w:val="6C1650FD"/>
    <w:rsid w:val="6C426829"/>
    <w:rsid w:val="6CEB5F3B"/>
    <w:rsid w:val="6E8B1784"/>
    <w:rsid w:val="73614861"/>
    <w:rsid w:val="74FF2584"/>
    <w:rsid w:val="797313F2"/>
    <w:rsid w:val="7A2F7467"/>
    <w:rsid w:val="7EB75C7D"/>
    <w:rsid w:val="7EE10C5A"/>
    <w:rsid w:val="BFB62A01"/>
    <w:rsid w:val="F5FEBEF0"/>
    <w:rsid w:val="FFF59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869</Words>
  <Characters>984</Characters>
  <Lines>0</Lines>
  <Paragraphs>0</Paragraphs>
  <TotalTime>24</TotalTime>
  <ScaleCrop>false</ScaleCrop>
  <LinksUpToDate>false</LinksUpToDate>
  <CharactersWithSpaces>1066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2026-04-17T19:21:00Z</dcterms:created>
  <dc:creator>静静</dc:creator>
  <cp:lastModifiedBy>静静</cp:lastModifiedBy>
  <dcterms:modified xsi:type="dcterms:W3CDTF">2026-04-22T01:36:21Z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2A1F65186DFDDFC2107BE5694F4594CE_43</vt:lpwstr>
  </property>
  <property fmtid="{D5CDD505-2E9C-101B-9397-08002B2CF9AE}" pid="4" name="KSOTemplateDocerSaveRecord">
    <vt:lpwstr>eyJoZGlkIjoiMWE3YjcxZjVkYTRiOWI2OTFlNzIwYjU3N2E5ZTIyMGEiLCJ1c2VySWQiOiI1NzY2NDU2NjMifQ==</vt:lpwstr>
  </property>
</Properties>
</file>